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2EE046">
      <w:pPr>
        <w:pStyle w:val="3"/>
        <w:rPr>
          <w:rFonts w:cs="宋体" w:eastAsiaTheme="minorEastAsia"/>
          <w:color w:val="auto"/>
        </w:rPr>
      </w:pPr>
      <w:r>
        <w:rPr>
          <w:rFonts w:hint="eastAsia" w:cs="宋体" w:eastAsiaTheme="minorEastAsia"/>
          <w:color w:val="auto"/>
        </w:rPr>
        <w:t>彭祖回声音乐营地项目</w:t>
      </w:r>
    </w:p>
    <w:p w14:paraId="3EC12653">
      <w:pPr>
        <w:pStyle w:val="3"/>
        <w:rPr>
          <w:rFonts w:cs="宋体" w:eastAsiaTheme="minorEastAsia"/>
          <w:color w:val="auto"/>
        </w:rPr>
      </w:pPr>
      <w:r>
        <w:rPr>
          <w:rFonts w:hint="eastAsia" w:cs="宋体" w:eastAsiaTheme="minorEastAsia"/>
          <w:color w:val="auto"/>
        </w:rPr>
        <w:t>采购</w:t>
      </w:r>
      <w:r>
        <w:rPr>
          <w:rFonts w:cs="宋体" w:eastAsiaTheme="minorEastAsia"/>
          <w:color w:val="auto"/>
        </w:rPr>
        <w:t>合同</w:t>
      </w:r>
    </w:p>
    <w:p w14:paraId="2A39DDDA">
      <w:pPr>
        <w:kinsoku w:val="0"/>
        <w:spacing w:line="440" w:lineRule="exact"/>
        <w:ind w:firstLine="500" w:firstLineChars="250"/>
        <w:rPr>
          <w:rFonts w:hint="eastAsia"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甲方（买方）：</w:t>
      </w:r>
    </w:p>
    <w:p w14:paraId="608267E4">
      <w:pPr>
        <w:kinsoku w:val="0"/>
        <w:spacing w:line="440" w:lineRule="exact"/>
        <w:ind w:firstLine="500" w:firstLineChars="250"/>
        <w:rPr>
          <w:rFonts w:hint="eastAsia"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乙方（卖方）：</w:t>
      </w:r>
    </w:p>
    <w:p w14:paraId="31F9A34D">
      <w:pPr>
        <w:kinsoku w:val="0"/>
        <w:spacing w:line="440" w:lineRule="exact"/>
        <w:ind w:firstLine="500" w:firstLineChars="25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根据《中华人民共和国政府采购法》、《中华人民共和国民法典》等法律法规，甲方通过公开招标，选定乙方为中标供应商。甲、乙双方在平等基础上协商一致，达成如下合同条款：</w:t>
      </w:r>
    </w:p>
    <w:p w14:paraId="0F50FF13">
      <w:pPr>
        <w:kinsoku w:val="0"/>
        <w:spacing w:line="440" w:lineRule="exact"/>
        <w:ind w:firstLine="500" w:firstLineChars="25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合同内容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552"/>
        <w:gridCol w:w="2130"/>
        <w:gridCol w:w="708"/>
        <w:gridCol w:w="710"/>
        <w:gridCol w:w="851"/>
        <w:gridCol w:w="951"/>
        <w:gridCol w:w="890"/>
      </w:tblGrid>
      <w:tr w14:paraId="2B100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76" w:type="pct"/>
            <w:vAlign w:val="center"/>
          </w:tcPr>
          <w:p w14:paraId="34354D32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901" w:type="pct"/>
            <w:vAlign w:val="center"/>
          </w:tcPr>
          <w:p w14:paraId="363EBCA3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产品名称</w:t>
            </w:r>
          </w:p>
        </w:tc>
        <w:tc>
          <w:tcPr>
            <w:tcW w:w="1237" w:type="pct"/>
            <w:vAlign w:val="center"/>
          </w:tcPr>
          <w:p w14:paraId="2AD57304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品牌、型号</w:t>
            </w:r>
          </w:p>
        </w:tc>
        <w:tc>
          <w:tcPr>
            <w:tcW w:w="411" w:type="pct"/>
            <w:vAlign w:val="center"/>
          </w:tcPr>
          <w:p w14:paraId="12673879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产地</w:t>
            </w:r>
          </w:p>
        </w:tc>
        <w:tc>
          <w:tcPr>
            <w:tcW w:w="412" w:type="pct"/>
            <w:vAlign w:val="center"/>
          </w:tcPr>
          <w:p w14:paraId="4F08A9B2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数量</w:t>
            </w:r>
          </w:p>
        </w:tc>
        <w:tc>
          <w:tcPr>
            <w:tcW w:w="494" w:type="pct"/>
            <w:vAlign w:val="center"/>
          </w:tcPr>
          <w:p w14:paraId="6B1B8026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单价</w:t>
            </w:r>
          </w:p>
        </w:tc>
        <w:tc>
          <w:tcPr>
            <w:tcW w:w="552" w:type="pct"/>
            <w:vAlign w:val="center"/>
          </w:tcPr>
          <w:p w14:paraId="6A677147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总价</w:t>
            </w:r>
          </w:p>
        </w:tc>
        <w:tc>
          <w:tcPr>
            <w:tcW w:w="518" w:type="pct"/>
            <w:vAlign w:val="center"/>
          </w:tcPr>
          <w:p w14:paraId="57EE8FF9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备注</w:t>
            </w:r>
          </w:p>
        </w:tc>
      </w:tr>
      <w:tr w14:paraId="4B125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476" w:type="pct"/>
            <w:vAlign w:val="center"/>
          </w:tcPr>
          <w:p w14:paraId="616912C4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</w:t>
            </w:r>
          </w:p>
        </w:tc>
        <w:tc>
          <w:tcPr>
            <w:tcW w:w="901" w:type="pct"/>
            <w:vAlign w:val="center"/>
          </w:tcPr>
          <w:p w14:paraId="317D5DC2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237" w:type="pct"/>
            <w:vAlign w:val="center"/>
          </w:tcPr>
          <w:p w14:paraId="1D415015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7D40662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12" w:type="pct"/>
            <w:vAlign w:val="center"/>
          </w:tcPr>
          <w:p w14:paraId="4A1EC5D5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94" w:type="pct"/>
            <w:vAlign w:val="center"/>
          </w:tcPr>
          <w:p w14:paraId="76D9F1CD"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52" w:type="pct"/>
            <w:vAlign w:val="center"/>
          </w:tcPr>
          <w:p w14:paraId="615AFC9B"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48D9CDE2"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E7CF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476" w:type="pct"/>
            <w:vAlign w:val="center"/>
          </w:tcPr>
          <w:p w14:paraId="235A3D3A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</w:t>
            </w:r>
          </w:p>
        </w:tc>
        <w:tc>
          <w:tcPr>
            <w:tcW w:w="901" w:type="pct"/>
            <w:vAlign w:val="center"/>
          </w:tcPr>
          <w:p w14:paraId="33A73EB0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237" w:type="pct"/>
            <w:vAlign w:val="center"/>
          </w:tcPr>
          <w:p w14:paraId="3105A222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63BB562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12" w:type="pct"/>
            <w:vAlign w:val="center"/>
          </w:tcPr>
          <w:p w14:paraId="651651E1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94" w:type="pct"/>
            <w:vAlign w:val="center"/>
          </w:tcPr>
          <w:p w14:paraId="3A37CC75"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52" w:type="pct"/>
            <w:vAlign w:val="center"/>
          </w:tcPr>
          <w:p w14:paraId="0050294D"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6E33736B"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6052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476" w:type="pct"/>
            <w:vAlign w:val="center"/>
          </w:tcPr>
          <w:p w14:paraId="48FBE381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...</w:t>
            </w:r>
          </w:p>
        </w:tc>
        <w:tc>
          <w:tcPr>
            <w:tcW w:w="901" w:type="pct"/>
            <w:vAlign w:val="center"/>
          </w:tcPr>
          <w:p w14:paraId="66DF67D9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237" w:type="pct"/>
            <w:vAlign w:val="center"/>
          </w:tcPr>
          <w:p w14:paraId="12176777">
            <w:pPr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55420E0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12" w:type="pct"/>
            <w:vAlign w:val="center"/>
          </w:tcPr>
          <w:p w14:paraId="0C8C2438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94" w:type="pct"/>
            <w:vAlign w:val="center"/>
          </w:tcPr>
          <w:p w14:paraId="7377A986"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52" w:type="pct"/>
            <w:vAlign w:val="center"/>
          </w:tcPr>
          <w:p w14:paraId="588FDC3C"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8" w:type="pct"/>
            <w:vAlign w:val="center"/>
          </w:tcPr>
          <w:p w14:paraId="6F4DEB6B"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63EC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377" w:type="pct"/>
            <w:gridSpan w:val="2"/>
            <w:vAlign w:val="center"/>
          </w:tcPr>
          <w:p w14:paraId="07C80107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总计（人民币/元）</w:t>
            </w:r>
          </w:p>
        </w:tc>
        <w:tc>
          <w:tcPr>
            <w:tcW w:w="3623" w:type="pct"/>
            <w:gridSpan w:val="6"/>
            <w:vAlign w:val="center"/>
          </w:tcPr>
          <w:p w14:paraId="4E2EC10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￥：（大写：）</w:t>
            </w:r>
          </w:p>
        </w:tc>
      </w:tr>
    </w:tbl>
    <w:p w14:paraId="66285304">
      <w:pPr>
        <w:kinsoku w:val="0"/>
        <w:spacing w:line="440" w:lineRule="exact"/>
        <w:ind w:firstLine="500" w:firstLineChars="25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（参数附件说明）</w:t>
      </w:r>
    </w:p>
    <w:p w14:paraId="6A6BB5E5">
      <w:pPr>
        <w:kinsoku w:val="0"/>
        <w:spacing w:line="440" w:lineRule="exact"/>
        <w:ind w:right="-250" w:rightChars="-104" w:firstLine="500" w:firstLineChars="25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乙方负责按以上确定的产品规格、型号及配套内容进行供货，及时运到甲方指定交货地点安装调试，确保所有产品达到最佳运行状态，做好售后服务工作。</w:t>
      </w:r>
    </w:p>
    <w:p w14:paraId="0E7E3DC5">
      <w:pPr>
        <w:spacing w:line="440" w:lineRule="exact"/>
        <w:ind w:firstLine="402" w:firstLineChars="200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二、合同价格</w:t>
      </w:r>
    </w:p>
    <w:p w14:paraId="1F436667">
      <w:pPr>
        <w:kinsoku w:val="0"/>
        <w:spacing w:line="44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合同总价：人民币大写：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 w:color="auto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；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小写：¥：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 w:color="auto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元。</w:t>
      </w:r>
    </w:p>
    <w:p w14:paraId="23D45DB8">
      <w:pPr>
        <w:kinsoku w:val="0"/>
        <w:spacing w:line="440" w:lineRule="exact"/>
        <w:ind w:right="-365" w:rightChars="-152"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合同总价包括：所供货物、服务且验收合格的所有费用，包括出厂价、运杂费（含保险）、仓储保管费、安装调试费、检测费、人工费、利润、税费等其他一切相关费用；包括从产品供应地点到交货地点，且使产品具备使用条件的一切费用。合同总价不可变更，不受市场价变化的影响，不受实际数量变化的影响。</w:t>
      </w:r>
    </w:p>
    <w:p w14:paraId="3E090114">
      <w:pPr>
        <w:spacing w:line="440" w:lineRule="exact"/>
        <w:ind w:firstLine="402" w:firstLineChars="200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三、款项支付</w:t>
      </w:r>
    </w:p>
    <w:p w14:paraId="11CB5A78">
      <w:pPr>
        <w:kinsoku w:val="0"/>
        <w:spacing w:line="440" w:lineRule="exact"/>
        <w:ind w:right="-365" w:rightChars="-152"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合同签订后分二次付款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第一次付款：</w:t>
      </w: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合同签订后 ，达到付款条件起 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10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日内，支付合同总金额的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4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0.00%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即人民币大写：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 w:color="auto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；小写：¥：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 w:color="auto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元。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第二次付款：</w:t>
      </w: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货到验收安装调试合格后 ，达到付款条件起 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10</w:t>
      </w: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 日内，支付合同总金额的 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60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.00%</w:t>
      </w:r>
      <w:r>
        <w:rPr>
          <w:rFonts w:hint="eastAsia" w:ascii="仿宋" w:hAnsi="仿宋" w:eastAsia="仿宋" w:cs="仿宋"/>
          <w:color w:val="auto"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人民币大写：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 w:color="auto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；小写：¥：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 w:color="auto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元。</w:t>
      </w:r>
    </w:p>
    <w:p w14:paraId="0BD5BF09">
      <w:pPr>
        <w:adjustRightInd w:val="0"/>
        <w:snapToGrid w:val="0"/>
        <w:spacing w:line="440" w:lineRule="exact"/>
        <w:ind w:firstLine="402" w:firstLineChars="200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四、交货条件</w:t>
      </w:r>
    </w:p>
    <w:p w14:paraId="36D58085">
      <w:pPr>
        <w:kinsoku w:val="0"/>
        <w:spacing w:line="440" w:lineRule="exact"/>
        <w:ind w:right="-365" w:rightChars="-152"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1、交货地点：甲方指定地点</w:t>
      </w:r>
    </w:p>
    <w:p w14:paraId="753DE2B6">
      <w:pPr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2、交货期限：自合同签订之日起 30日历天,交货安装调试完毕。</w:t>
      </w:r>
    </w:p>
    <w:p w14:paraId="4539DD75">
      <w:pPr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3、质保期：自验收合格之日起1年。中标人承诺的质保时间超过招标文件要求的，按其承诺时间质保。 </w:t>
      </w:r>
    </w:p>
    <w:p w14:paraId="5C0373C4">
      <w:pPr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4、售后要求：质保期内，发生质量问题，乙方自接到甲方通知后，1 小时内响应，应于 4 小时内派出专业的维修人员到现场进行检测维修，12 小时内完成修复，发生的全部费用由乙方承担。</w:t>
      </w:r>
    </w:p>
    <w:p w14:paraId="2CAA5F03">
      <w:pPr>
        <w:spacing w:line="440" w:lineRule="exact"/>
        <w:ind w:firstLine="402" w:firstLineChars="200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五、运输方式：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根据产品特性，由乙方在保证产品质量的前提下，自行选择运输及包装方式，发生的一切费用全部由乙方承担。</w:t>
      </w:r>
    </w:p>
    <w:p w14:paraId="773A3C20">
      <w:pPr>
        <w:adjustRightInd w:val="0"/>
        <w:snapToGrid w:val="0"/>
        <w:spacing w:line="440" w:lineRule="exact"/>
        <w:ind w:firstLine="402" w:firstLineChars="200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六、质量保证</w:t>
      </w:r>
    </w:p>
    <w:p w14:paraId="48C6199D">
      <w:pPr>
        <w:adjustRightInd w:val="0"/>
        <w:snapToGrid w:val="0"/>
        <w:spacing w:line="44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1、乙方保证所有产品全部符合国家及行业强制性标准；</w:t>
      </w:r>
    </w:p>
    <w:p w14:paraId="7E662249">
      <w:pPr>
        <w:adjustRightInd w:val="0"/>
        <w:snapToGrid w:val="0"/>
        <w:spacing w:line="44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2、乙方保证所提供的产品质量可靠，进货渠道正常，配置合理，技术性能完全满足招标文件要求；</w:t>
      </w:r>
    </w:p>
    <w:p w14:paraId="368317AF">
      <w:pPr>
        <w:adjustRightInd w:val="0"/>
        <w:snapToGrid w:val="0"/>
        <w:spacing w:line="44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3、若产品所用原材料或加工工艺造成的质量和内外观缺陷问题，由乙方负责解决并承担费用。（乙方保证货物是全新的、未曾使用过的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64CC44F6">
      <w:pPr>
        <w:adjustRightInd w:val="0"/>
        <w:snapToGrid w:val="0"/>
        <w:spacing w:line="44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4、产品性能未达到技术要求的，乙方限期内进行整改；整改仍达不到要求的，甲方有权解除合同，保留依法索赔的权利。</w:t>
      </w:r>
    </w:p>
    <w:p w14:paraId="608BC3DA">
      <w:pPr>
        <w:adjustRightInd w:val="0"/>
        <w:snapToGrid w:val="0"/>
        <w:spacing w:line="44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5、质保期内若发生产品质量问题，乙方应立即免费解决；否则，甲方有权从剩余合同款中支付相关费用。</w:t>
      </w:r>
    </w:p>
    <w:p w14:paraId="46A149FF">
      <w:pPr>
        <w:adjustRightInd w:val="0"/>
        <w:snapToGrid w:val="0"/>
        <w:spacing w:line="440" w:lineRule="exact"/>
        <w:ind w:firstLine="299" w:firstLineChars="149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七、安装、调试及技术服务</w:t>
      </w:r>
    </w:p>
    <w:p w14:paraId="3A0B979D">
      <w:pPr>
        <w:spacing w:line="44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1、技术资料包括：出厂检测报告、产品使用说明书、合格证等其它相关资料。</w:t>
      </w:r>
    </w:p>
    <w:p w14:paraId="081223A1">
      <w:pPr>
        <w:spacing w:line="44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、质保期内免费维护，并免费提供备品、备件，更换故障部件、产品等，乙方在接到用户对所购产品进行维修的要求后，及时到用户现场进行维修服务，全部费用由乙方支付，若需将产品送回生产厂，由乙方支付维修产品所需的往返费用。</w:t>
      </w:r>
    </w:p>
    <w:p w14:paraId="2071FABA">
      <w:pPr>
        <w:spacing w:line="44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3、乙方保证产品完全按招标要求提供，若达不到要求，乙方须及时跟甲方沟通协商更换产品，并按照再次验收合格时间相应延长该产品保修期。</w:t>
      </w:r>
    </w:p>
    <w:p w14:paraId="0CB26421">
      <w:pPr>
        <w:adjustRightInd w:val="0"/>
        <w:snapToGrid w:val="0"/>
        <w:spacing w:line="44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4、服务承诺：按投标文件中的服务承诺执行。</w:t>
      </w:r>
    </w:p>
    <w:p w14:paraId="19702265">
      <w:pPr>
        <w:adjustRightInd w:val="0"/>
        <w:snapToGrid w:val="0"/>
        <w:spacing w:line="44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5、乙方人员在安装调试过程中出现的安全责任问题由乙方全权负责。</w:t>
      </w:r>
    </w:p>
    <w:p w14:paraId="27E3DB73">
      <w:pPr>
        <w:adjustRightInd w:val="0"/>
        <w:snapToGrid w:val="0"/>
        <w:spacing w:line="44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6、设备安装调试结束后，安排技术人员进行培训，达到操作熟练程度。</w:t>
      </w:r>
    </w:p>
    <w:p w14:paraId="4D816121">
      <w:pPr>
        <w:adjustRightInd w:val="0"/>
        <w:snapToGrid w:val="0"/>
        <w:spacing w:line="440" w:lineRule="exact"/>
        <w:ind w:firstLine="402" w:firstLineChars="200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八、产品包装及环保要求</w:t>
      </w:r>
    </w:p>
    <w:p w14:paraId="022008F7">
      <w:pPr>
        <w:adjustRightInd w:val="0"/>
        <w:snapToGrid w:val="0"/>
        <w:spacing w:line="44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本项目标的产品如需要包装或快递的，乙方须严格按照“关于印发《商品包装政府采购需求标准（试行）》、 《快递包装政府采购需求标准（试行）》的通知（财办库〔2020〕123号）”规定执行。</w:t>
      </w:r>
    </w:p>
    <w:p w14:paraId="2C98CB1B">
      <w:pPr>
        <w:tabs>
          <w:tab w:val="left" w:pos="5355"/>
        </w:tabs>
        <w:spacing w:line="440" w:lineRule="exact"/>
        <w:ind w:firstLine="422" w:firstLineChars="210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九、违约责任：</w:t>
      </w:r>
    </w:p>
    <w:p w14:paraId="7DE1BD2D">
      <w:pPr>
        <w:adjustRightInd w:val="0"/>
        <w:snapToGrid w:val="0"/>
        <w:spacing w:line="44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1、按《中华人民共和国民法典》中的相关条款执行。</w:t>
      </w:r>
    </w:p>
    <w:p w14:paraId="1D2FDC93">
      <w:pPr>
        <w:spacing w:line="44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、未按合同要求提供产品或产品质量不能满足合同约定的技术要求，甲方有权终止合同，乙方须无条件全额退回甲方已付给乙方的货款，并向甲方支付合同总价款百分之十的违约金。并保留追究乙方违约责任的权利。</w:t>
      </w:r>
    </w:p>
    <w:p w14:paraId="5C4C4C7F">
      <w:pPr>
        <w:adjustRightInd w:val="0"/>
        <w:snapToGrid w:val="0"/>
        <w:spacing w:line="44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3、乙方交货或甲方付款时间迟延的，违约方按照每天1%向对方承担违约责任，延迟30天以上，甲方有权解除合同。产品质量问题违约的，除了按照迟延时间计算违约金外，另可以采取退货、换货等方式，由乙方承担一切费用。</w:t>
      </w:r>
    </w:p>
    <w:p w14:paraId="08B15FBB">
      <w:pPr>
        <w:spacing w:line="440" w:lineRule="exact"/>
        <w:ind w:firstLine="532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十、产品验收</w:t>
      </w:r>
    </w:p>
    <w:p w14:paraId="70E5C2F4">
      <w:pPr>
        <w:tabs>
          <w:tab w:val="left" w:pos="5355"/>
        </w:tabs>
        <w:spacing w:line="440" w:lineRule="exact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1、验收由甲、乙双方相关人员组成的验收小组负责。 </w:t>
      </w:r>
    </w:p>
    <w:p w14:paraId="27E5FB64">
      <w:pPr>
        <w:tabs>
          <w:tab w:val="left" w:pos="5355"/>
        </w:tabs>
        <w:spacing w:line="440" w:lineRule="exact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2、提供制造厂家的检验测试报告或产品出厂检测报告。</w:t>
      </w:r>
    </w:p>
    <w:p w14:paraId="7BA765E5">
      <w:pPr>
        <w:tabs>
          <w:tab w:val="left" w:pos="5355"/>
        </w:tabs>
        <w:spacing w:line="440" w:lineRule="exact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3、甲方根据合同要求对产品进行到货验收、确认产品的产地、规格、型号和数量。验收依据为已签订的合同文本、投标文件和国内相应的标准、规范。</w:t>
      </w:r>
    </w:p>
    <w:p w14:paraId="2D0DD81A">
      <w:pPr>
        <w:tabs>
          <w:tab w:val="left" w:pos="5355"/>
        </w:tabs>
        <w:spacing w:line="440" w:lineRule="exact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4、验收合格后，填写产品验收单，并向甲方提交产品所包含的所有资料，以便使用单位日后管理和维护。</w:t>
      </w:r>
    </w:p>
    <w:p w14:paraId="47DF21C6">
      <w:pPr>
        <w:tabs>
          <w:tab w:val="left" w:pos="5355"/>
        </w:tabs>
        <w:spacing w:line="440" w:lineRule="exact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5、在交割以前产品所发生的一切损失及费用由乙方承担。性能达到技术要求的，验收通过；验收不合格的，限期整改。</w:t>
      </w:r>
    </w:p>
    <w:p w14:paraId="73D27793">
      <w:pPr>
        <w:tabs>
          <w:tab w:val="left" w:pos="5355"/>
        </w:tabs>
        <w:spacing w:line="440" w:lineRule="exact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6、如因货物的质量问题发生争议，由甲方属地技术质量监督部门进行质量鉴定；货物符合质量标准的，鉴定费由甲方承担；货物不符合质量标准的，鉴定费由乙方承担。</w:t>
      </w:r>
    </w:p>
    <w:p w14:paraId="3D85AF75">
      <w:pPr>
        <w:tabs>
          <w:tab w:val="left" w:pos="5355"/>
        </w:tabs>
        <w:spacing w:line="440" w:lineRule="exact"/>
        <w:ind w:firstLine="402" w:firstLineChars="200"/>
        <w:rPr>
          <w:rFonts w:hint="eastAsia" w:ascii="仿宋" w:hAnsi="仿宋" w:eastAsia="仿宋" w:cs="仿宋"/>
          <w:b/>
          <w:bCs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十一、合同争议的解决</w:t>
      </w:r>
    </w:p>
    <w:p w14:paraId="6424F87F">
      <w:pPr>
        <w:tabs>
          <w:tab w:val="left" w:pos="5355"/>
        </w:tabs>
        <w:spacing w:line="440" w:lineRule="exact"/>
        <w:ind w:firstLine="400" w:firstLineChars="200"/>
        <w:rPr>
          <w:rFonts w:hint="eastAsia" w:ascii="仿宋" w:hAnsi="仿宋" w:eastAsia="仿宋" w:cs="仿宋"/>
          <w:b/>
          <w:bCs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合同一经签订，不得随意变更、中止或终止。对确需变更、调整或者中止、终止合同的，应按规定履行相应的手续。</w:t>
      </w:r>
    </w:p>
    <w:p w14:paraId="00073A41">
      <w:pPr>
        <w:tabs>
          <w:tab w:val="left" w:pos="5355"/>
        </w:tabs>
        <w:spacing w:line="440" w:lineRule="exact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合同执行中发生争议的，甲、乙双方应协商解决，协商达不成一致时，可向甲方所在地人民法院提起诉讼。</w:t>
      </w:r>
    </w:p>
    <w:p w14:paraId="39742DF5">
      <w:pPr>
        <w:tabs>
          <w:tab w:val="left" w:pos="5355"/>
        </w:tabs>
        <w:spacing w:line="440" w:lineRule="exact"/>
        <w:ind w:firstLine="402" w:firstLineChars="200"/>
        <w:rPr>
          <w:rFonts w:hint="eastAsia" w:ascii="仿宋" w:hAnsi="仿宋" w:eastAsia="仿宋" w:cs="仿宋"/>
          <w:b/>
          <w:bCs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十二、其它事项</w:t>
      </w:r>
    </w:p>
    <w:p w14:paraId="69C42D90">
      <w:pPr>
        <w:adjustRightInd w:val="0"/>
        <w:snapToGrid w:val="0"/>
        <w:spacing w:line="440" w:lineRule="exact"/>
        <w:ind w:firstLine="500" w:firstLineChars="2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1、甲、乙双方做为合同执行的主体，有义务及时完全履行合同。</w:t>
      </w:r>
    </w:p>
    <w:p w14:paraId="54328214">
      <w:pPr>
        <w:adjustRightInd w:val="0"/>
        <w:snapToGrid w:val="0"/>
        <w:spacing w:line="440" w:lineRule="exact"/>
        <w:ind w:firstLine="500" w:firstLineChars="2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2、甲方使用部门代表签署合同，并随时监督合同履行情况。</w:t>
      </w:r>
    </w:p>
    <w:p w14:paraId="5B2C601E">
      <w:pPr>
        <w:adjustRightInd w:val="0"/>
        <w:snapToGrid w:val="0"/>
        <w:spacing w:line="440" w:lineRule="exact"/>
        <w:ind w:firstLine="500" w:firstLineChars="2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3、合同未尽事宜，由甲、乙双方协商，协商方案作为本合同不可分割的组成部分，与本合同具有同等法律效力。</w:t>
      </w:r>
    </w:p>
    <w:p w14:paraId="22814698">
      <w:pPr>
        <w:adjustRightInd w:val="0"/>
        <w:snapToGrid w:val="0"/>
        <w:spacing w:line="440" w:lineRule="exact"/>
        <w:ind w:firstLine="500" w:firstLineChars="2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4、招标文件和乙方的投标文件以及合同附件均为合同不可分割的部分。</w:t>
      </w:r>
    </w:p>
    <w:p w14:paraId="4898D3CA">
      <w:pPr>
        <w:adjustRightInd w:val="0"/>
        <w:snapToGrid w:val="0"/>
        <w:spacing w:line="440" w:lineRule="exact"/>
        <w:ind w:firstLine="500" w:firstLineChars="2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5、合同一式陆份，甲方持肆份、乙方执壹份，招标代理机构壹份。双方签字盖章后生效，合同执行完毕自动失效。（合同的服务承诺长期有效）。</w:t>
      </w:r>
    </w:p>
    <w:p w14:paraId="1337B812">
      <w:pPr>
        <w:adjustRightInd w:val="0"/>
        <w:snapToGrid w:val="0"/>
        <w:spacing w:line="440" w:lineRule="exact"/>
        <w:ind w:firstLine="500" w:firstLineChars="2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6、使用单位收货、验货人员：电话：_______________。　</w:t>
      </w:r>
    </w:p>
    <w:p w14:paraId="7F87F528">
      <w:pPr>
        <w:pStyle w:val="4"/>
        <w:rPr>
          <w:rFonts w:hint="eastAsia" w:ascii="仿宋" w:hAnsi="仿宋" w:eastAsia="仿宋" w:cs="仿宋"/>
          <w:sz w:val="20"/>
          <w:szCs w:val="20"/>
        </w:rPr>
      </w:pPr>
    </w:p>
    <w:p w14:paraId="65BE38D4">
      <w:pPr>
        <w:pStyle w:val="4"/>
        <w:rPr>
          <w:rFonts w:hint="eastAsia" w:ascii="仿宋" w:hAnsi="仿宋" w:eastAsia="仿宋" w:cs="仿宋"/>
          <w:sz w:val="20"/>
          <w:szCs w:val="20"/>
        </w:rPr>
      </w:pPr>
    </w:p>
    <w:p w14:paraId="7132C3F9">
      <w:pPr>
        <w:pStyle w:val="4"/>
        <w:ind w:left="0"/>
        <w:rPr>
          <w:rFonts w:hint="eastAsia" w:ascii="仿宋" w:hAnsi="仿宋" w:eastAsia="仿宋" w:cs="仿宋"/>
          <w:sz w:val="20"/>
          <w:szCs w:val="20"/>
        </w:rPr>
      </w:pPr>
    </w:p>
    <w:tbl>
      <w:tblPr>
        <w:tblStyle w:val="6"/>
        <w:tblpPr w:leftFromText="180" w:rightFromText="180" w:vertAnchor="text" w:horzAnchor="page" w:tblpXSpec="center" w:tblpY="147"/>
        <w:tblOverlap w:val="never"/>
        <w:tblW w:w="508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8"/>
        <w:gridCol w:w="4538"/>
      </w:tblGrid>
      <w:tr w14:paraId="01D14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74AA2C7E">
            <w:pPr>
              <w:spacing w:line="348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甲方（买方）：</w:t>
            </w:r>
          </w:p>
        </w:tc>
        <w:tc>
          <w:tcPr>
            <w:tcW w:w="2591" w:type="pct"/>
            <w:noWrap/>
            <w:vAlign w:val="center"/>
          </w:tcPr>
          <w:p w14:paraId="588870FB">
            <w:pPr>
              <w:spacing w:line="348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乙方（卖方）：</w:t>
            </w:r>
          </w:p>
        </w:tc>
      </w:tr>
      <w:tr w14:paraId="7710A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50C51FCF">
            <w:pPr>
              <w:spacing w:line="348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地　址：</w:t>
            </w:r>
          </w:p>
        </w:tc>
        <w:tc>
          <w:tcPr>
            <w:tcW w:w="2591" w:type="pct"/>
            <w:noWrap/>
            <w:vAlign w:val="center"/>
          </w:tcPr>
          <w:p w14:paraId="4D3E03C6">
            <w:pPr>
              <w:spacing w:line="348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地　址：</w:t>
            </w:r>
          </w:p>
        </w:tc>
      </w:tr>
      <w:tr w14:paraId="00AE8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7EBC89DF">
            <w:pPr>
              <w:spacing w:line="348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授权代理人：　</w:t>
            </w:r>
          </w:p>
        </w:tc>
        <w:tc>
          <w:tcPr>
            <w:tcW w:w="2591" w:type="pct"/>
            <w:noWrap/>
            <w:vAlign w:val="center"/>
          </w:tcPr>
          <w:p w14:paraId="42B4392C">
            <w:pPr>
              <w:tabs>
                <w:tab w:val="left" w:pos="5355"/>
              </w:tabs>
              <w:spacing w:line="50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授权代理人</w:t>
            </w:r>
          </w:p>
        </w:tc>
      </w:tr>
      <w:tr w14:paraId="6DA4F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1BE4CF2B">
            <w:pPr>
              <w:spacing w:line="348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联系电话：</w:t>
            </w:r>
          </w:p>
        </w:tc>
        <w:tc>
          <w:tcPr>
            <w:tcW w:w="2591" w:type="pct"/>
            <w:noWrap/>
            <w:vAlign w:val="center"/>
          </w:tcPr>
          <w:p w14:paraId="3A678698">
            <w:pPr>
              <w:spacing w:line="348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联系电话：</w:t>
            </w:r>
          </w:p>
        </w:tc>
      </w:tr>
      <w:tr w14:paraId="423EA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6B77B1D9">
            <w:pPr>
              <w:spacing w:line="348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开户行：</w:t>
            </w:r>
          </w:p>
        </w:tc>
        <w:tc>
          <w:tcPr>
            <w:tcW w:w="2591" w:type="pct"/>
            <w:noWrap/>
            <w:vAlign w:val="center"/>
          </w:tcPr>
          <w:p w14:paraId="2A78C276">
            <w:pPr>
              <w:tabs>
                <w:tab w:val="left" w:pos="5355"/>
              </w:tabs>
              <w:spacing w:line="50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开户行：</w:t>
            </w:r>
          </w:p>
        </w:tc>
      </w:tr>
      <w:tr w14:paraId="520EC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18C15F40">
            <w:pPr>
              <w:spacing w:line="348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账号：</w:t>
            </w:r>
          </w:p>
        </w:tc>
        <w:tc>
          <w:tcPr>
            <w:tcW w:w="2591" w:type="pct"/>
            <w:noWrap/>
            <w:vAlign w:val="center"/>
          </w:tcPr>
          <w:p w14:paraId="0269A717">
            <w:pPr>
              <w:tabs>
                <w:tab w:val="left" w:pos="5355"/>
              </w:tabs>
              <w:spacing w:line="50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账号：</w:t>
            </w:r>
          </w:p>
        </w:tc>
      </w:tr>
      <w:tr w14:paraId="27E84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10A91314">
            <w:pPr>
              <w:spacing w:line="348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日期：年  月   日</w:t>
            </w:r>
          </w:p>
        </w:tc>
        <w:tc>
          <w:tcPr>
            <w:tcW w:w="2591" w:type="pct"/>
            <w:noWrap/>
            <w:vAlign w:val="center"/>
          </w:tcPr>
          <w:p w14:paraId="535A773F">
            <w:pPr>
              <w:spacing w:line="348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日期： 年  月  日</w:t>
            </w:r>
          </w:p>
        </w:tc>
      </w:tr>
    </w:tbl>
    <w:p w14:paraId="670E88C1">
      <w:pPr>
        <w:rPr>
          <w:rFonts w:hint="eastAsia" w:ascii="仿宋" w:hAnsi="仿宋" w:eastAsia="仿宋" w:cs="仿宋"/>
          <w:sz w:val="20"/>
          <w:szCs w:val="20"/>
        </w:rPr>
      </w:pPr>
    </w:p>
    <w:p w14:paraId="3E91C59E">
      <w:pPr>
        <w:pStyle w:val="9"/>
        <w:rPr>
          <w:rFonts w:hint="eastAsia" w:ascii="仿宋" w:hAnsi="仿宋" w:eastAsia="仿宋" w:cs="仿宋"/>
          <w:sz w:val="20"/>
          <w:szCs w:val="20"/>
        </w:rPr>
      </w:pPr>
    </w:p>
    <w:p w14:paraId="4FAC9F2F">
      <w:pPr>
        <w:pStyle w:val="9"/>
        <w:rPr>
          <w:rFonts w:hint="eastAsia" w:ascii="仿宋" w:hAnsi="仿宋" w:eastAsia="仿宋" w:cs="仿宋"/>
          <w:sz w:val="20"/>
          <w:szCs w:val="20"/>
        </w:rPr>
      </w:pPr>
    </w:p>
    <w:p w14:paraId="09087495">
      <w:pPr>
        <w:pStyle w:val="9"/>
        <w:rPr>
          <w:rFonts w:hint="eastAsia" w:ascii="仿宋" w:hAnsi="仿宋" w:eastAsia="仿宋" w:cs="仿宋"/>
          <w:sz w:val="20"/>
          <w:szCs w:val="20"/>
        </w:rPr>
      </w:pPr>
    </w:p>
    <w:p w14:paraId="6CB13192">
      <w:bookmarkStart w:id="0" w:name="_GoBack"/>
      <w:bookmarkEnd w:id="0"/>
    </w:p>
    <w:sectPr>
      <w:footerReference r:id="rId5" w:type="default"/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4597363"/>
      <w:docPartObj>
        <w:docPartGallery w:val="autotext"/>
      </w:docPartObj>
    </w:sdtPr>
    <w:sdtContent>
      <w:p w14:paraId="5F2D6F66">
        <w:pPr>
          <w:pStyle w:val="5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699A9A49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E1EE8"/>
    <w:rsid w:val="136C6BDF"/>
    <w:rsid w:val="161C0D90"/>
    <w:rsid w:val="1C466EEF"/>
    <w:rsid w:val="216F6ECA"/>
    <w:rsid w:val="217D030F"/>
    <w:rsid w:val="23FA3D93"/>
    <w:rsid w:val="27360885"/>
    <w:rsid w:val="2A0C77FC"/>
    <w:rsid w:val="2EF01665"/>
    <w:rsid w:val="2F740E9D"/>
    <w:rsid w:val="2FB1116B"/>
    <w:rsid w:val="2FF70A0A"/>
    <w:rsid w:val="31D367ED"/>
    <w:rsid w:val="32562ADC"/>
    <w:rsid w:val="449000D0"/>
    <w:rsid w:val="4DF23BA9"/>
    <w:rsid w:val="4E241889"/>
    <w:rsid w:val="507A1A0D"/>
    <w:rsid w:val="54EE750F"/>
    <w:rsid w:val="59C36E2A"/>
    <w:rsid w:val="5A3B32E9"/>
    <w:rsid w:val="5A667ADA"/>
    <w:rsid w:val="5BCF1086"/>
    <w:rsid w:val="60123380"/>
    <w:rsid w:val="618535EF"/>
    <w:rsid w:val="61A8462B"/>
    <w:rsid w:val="7156797C"/>
    <w:rsid w:val="78044C6A"/>
    <w:rsid w:val="7B9E7C41"/>
    <w:rsid w:val="7D16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tabs>
        <w:tab w:val="left" w:pos="480"/>
      </w:tabs>
    </w:pPr>
    <w:rPr>
      <w:rFonts w:ascii="Calibri" w:hAnsi="Calibri"/>
      <w:sz w:val="20"/>
    </w:rPr>
  </w:style>
  <w:style w:type="paragraph" w:styleId="4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sz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customStyle="1" w:styleId="8">
    <w:name w:val="正文文字"/>
    <w:next w:val="1"/>
    <w:autoRedefine/>
    <w:qFormat/>
    <w:uiPriority w:val="0"/>
    <w:pPr>
      <w:adjustRightInd w:val="0"/>
      <w:snapToGrid w:val="0"/>
      <w:spacing w:after="120" w:line="600" w:lineRule="exact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0">
    <w:name w:val="font41"/>
    <w:basedOn w:val="7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11">
    <w:name w:val="font51"/>
    <w:basedOn w:val="7"/>
    <w:autoRedefine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2397</Words>
  <Characters>2431</Characters>
  <Lines>0</Lines>
  <Paragraphs>0</Paragraphs>
  <TotalTime>0</TotalTime>
  <ScaleCrop>false</ScaleCrop>
  <LinksUpToDate>false</LinksUpToDate>
  <CharactersWithSpaces>2637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2024-11-22T09:09:00Z</dcterms:created>
  <dc:creator>lenovo</dc:creator>
  <cp:lastModifiedBy>Hanson 汉森</cp:lastModifiedBy>
  <dcterms:modified xsi:type="dcterms:W3CDTF">2025-12-29T08:19:00Z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A2A3B2135E704BCA983A4274F0B0E0A6_13</vt:lpwstr>
  </property>
  <property fmtid="{D5CDD505-2E9C-101B-9397-08002B2CF9AE}" pid="4" name="KSOTemplateDocerSaveRecord">
    <vt:lpwstr>eyJoZGlkIjoiMDk3Y2Y1MjYwZDg0YjIxNDdiNGQwOWUxMDA2MzhjNGUiLCJ1c2VySWQiOiI1MTAwOTgyNjgifQ==</vt:lpwstr>
  </property>
</Properties>
</file>